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41" w:rsidRDefault="008338CC" w:rsidP="008748DB">
      <w:pPr>
        <w:jc w:val="center"/>
        <w:rPr>
          <w:b/>
        </w:rPr>
      </w:pPr>
      <w:r w:rsidRPr="008748DB">
        <w:rPr>
          <w:b/>
        </w:rPr>
        <w:t xml:space="preserve">Draft Letter to Hospital Administrator on the </w:t>
      </w:r>
      <w:r w:rsidR="008748DB" w:rsidRPr="008748DB">
        <w:rPr>
          <w:b/>
        </w:rPr>
        <w:t>Appropriate Use Criteria (AUC) Program</w:t>
      </w:r>
    </w:p>
    <w:p w:rsidR="008748DB" w:rsidRDefault="008748DB" w:rsidP="008748DB">
      <w:pPr>
        <w:rPr>
          <w:b/>
        </w:rPr>
      </w:pPr>
    </w:p>
    <w:p w:rsidR="008748DB" w:rsidRDefault="008748DB" w:rsidP="008748DB">
      <w:pPr>
        <w:rPr>
          <w:b/>
        </w:rPr>
      </w:pPr>
      <w:r>
        <w:rPr>
          <w:b/>
        </w:rPr>
        <w:t xml:space="preserve">Dear </w:t>
      </w:r>
      <w:proofErr w:type="gramStart"/>
      <w:r w:rsidRPr="00D41434">
        <w:rPr>
          <w:b/>
          <w:highlight w:val="yellow"/>
        </w:rPr>
        <w:t>…..</w:t>
      </w:r>
      <w:proofErr w:type="gramEnd"/>
      <w:r w:rsidRPr="00D41434">
        <w:rPr>
          <w:b/>
          <w:highlight w:val="yellow"/>
        </w:rPr>
        <w:t>,</w:t>
      </w:r>
    </w:p>
    <w:p w:rsidR="008748DB" w:rsidRDefault="008748DB" w:rsidP="008748DB">
      <w:pPr>
        <w:rPr>
          <w:b/>
        </w:rPr>
      </w:pPr>
    </w:p>
    <w:p w:rsidR="008748DB" w:rsidRDefault="008748DB" w:rsidP="00713B22">
      <w:pPr>
        <w:jc w:val="both"/>
      </w:pPr>
      <w:r>
        <w:t xml:space="preserve">We are writing today to make you aware of an exemption to the federally-required Appropriate Use Criteria (AUC) Program that affects </w:t>
      </w:r>
      <w:r w:rsidR="00CB1200">
        <w:t xml:space="preserve">Medicare </w:t>
      </w:r>
      <w:r>
        <w:t>patients</w:t>
      </w:r>
      <w:r w:rsidR="00713B22">
        <w:t xml:space="preserve"> experiencing potential emergencies</w:t>
      </w:r>
      <w:r>
        <w:t xml:space="preserve"> in our </w:t>
      </w:r>
      <w:r w:rsidR="00713B22">
        <w:t>hospital</w:t>
      </w:r>
      <w:r>
        <w:t>.</w:t>
      </w:r>
      <w:r w:rsidR="00713B22">
        <w:t xml:space="preserve"> </w:t>
      </w:r>
    </w:p>
    <w:p w:rsidR="00626F44" w:rsidRPr="005C2123" w:rsidRDefault="008748DB" w:rsidP="00713B22">
      <w:pPr>
        <w:jc w:val="both"/>
        <w:rPr>
          <w:b/>
        </w:rPr>
      </w:pPr>
      <w:r>
        <w:t xml:space="preserve">As background, the </w:t>
      </w:r>
      <w:r w:rsidRPr="008748DB">
        <w:t>Protecting Access to Medicare Act (PAMA)</w:t>
      </w:r>
      <w:r w:rsidR="00905508">
        <w:rPr>
          <w:rStyle w:val="FootnoteReference"/>
        </w:rPr>
        <w:footnoteReference w:id="1"/>
      </w:r>
      <w:r>
        <w:t xml:space="preserve"> of 2014 created the AUC Program, which will e</w:t>
      </w:r>
      <w:r w:rsidRPr="008748DB">
        <w:t>ventually require physicians ordering advanced imaging for Medicare beneficiaries to first consult AUC through approved clinical decision support mechanisms to be able to receive payment.</w:t>
      </w:r>
      <w:r w:rsidR="00626F44">
        <w:t xml:space="preserve"> </w:t>
      </w:r>
      <w:r w:rsidR="00626F44" w:rsidRPr="005C2123">
        <w:rPr>
          <w:b/>
        </w:rPr>
        <w:t>PAMA</w:t>
      </w:r>
      <w:r w:rsidR="00A649B5" w:rsidRPr="005C2123">
        <w:rPr>
          <w:b/>
        </w:rPr>
        <w:t xml:space="preserve"> specifically</w:t>
      </w:r>
      <w:r w:rsidR="00626F44" w:rsidRPr="005C2123">
        <w:rPr>
          <w:b/>
        </w:rPr>
        <w:t xml:space="preserve"> exempts </w:t>
      </w:r>
      <w:r w:rsidR="00CB1200" w:rsidRPr="005C2123">
        <w:rPr>
          <w:b/>
        </w:rPr>
        <w:t>emergency services defined as an “applicable imaging service ordered for an individual with an emergency medical condition</w:t>
      </w:r>
      <w:r w:rsidR="00713B22" w:rsidRPr="005C2123">
        <w:rPr>
          <w:rStyle w:val="FootnoteReference"/>
          <w:b/>
        </w:rPr>
        <w:footnoteReference w:id="2"/>
      </w:r>
      <w:r w:rsidR="00CB1200" w:rsidRPr="005C2123">
        <w:rPr>
          <w:b/>
        </w:rPr>
        <w:t>” from the requirements.</w:t>
      </w:r>
      <w:r w:rsidR="00713B22" w:rsidRPr="005C2123">
        <w:rPr>
          <w:b/>
        </w:rPr>
        <w:t xml:space="preserve"> </w:t>
      </w:r>
    </w:p>
    <w:p w:rsidR="00CB1200" w:rsidRDefault="00626F44" w:rsidP="00713B22">
      <w:pPr>
        <w:jc w:val="both"/>
      </w:pPr>
      <w:r>
        <w:t xml:space="preserve">The Centers for Medicare &amp; Medicaid Services (CMS) is </w:t>
      </w:r>
      <w:r w:rsidR="00A649B5">
        <w:t xml:space="preserve">the federal agency </w:t>
      </w:r>
      <w:r>
        <w:t xml:space="preserve">responsible for implementing the program. </w:t>
      </w:r>
      <w:r w:rsidR="00CB1200" w:rsidRPr="00713B22">
        <w:rPr>
          <w:b/>
        </w:rPr>
        <w:t>CMS recently clarified that exemptions granted for an individual with an emergency medical condition include instances where an emergency medical condition is suspected, but not yet confirmed.</w:t>
      </w:r>
      <w:r w:rsidR="00905508" w:rsidRPr="00713B22">
        <w:rPr>
          <w:rStyle w:val="FootnoteReference"/>
          <w:b/>
        </w:rPr>
        <w:footnoteReference w:id="3"/>
      </w:r>
      <w:r w:rsidR="00CB1200" w:rsidRPr="00713B22">
        <w:rPr>
          <w:b/>
        </w:rPr>
        <w:t xml:space="preserve"> This may include, for example, instances of severe pain or severe allergic reactions. In these instances, the exception is applicable even if it is determined later that the patient did not have an emergency medical condition</w:t>
      </w:r>
      <w:r w:rsidR="00CB1200" w:rsidRPr="00CB1200">
        <w:t>.</w:t>
      </w:r>
      <w:r>
        <w:t xml:space="preserve"> </w:t>
      </w:r>
      <w:r w:rsidRPr="00626F44">
        <w:t xml:space="preserve">CMS has </w:t>
      </w:r>
      <w:r w:rsidR="00A649B5">
        <w:t>followed up with</w:t>
      </w:r>
      <w:r w:rsidRPr="00626F44">
        <w:t xml:space="preserve"> instructions to clinicians to use modifier “MA” on the same line as the code for the advanced diagnostic imaging service in cases where the service is “being rendered to a patient with a suspected or confirmed emergency medical condition.” </w:t>
      </w:r>
      <w:r w:rsidR="00713B22">
        <w:rPr>
          <w:rStyle w:val="FootnoteReference"/>
        </w:rPr>
        <w:footnoteReference w:id="4"/>
      </w:r>
    </w:p>
    <w:p w:rsidR="00626F44" w:rsidRDefault="00626F44" w:rsidP="00713B22">
      <w:pPr>
        <w:jc w:val="both"/>
      </w:pPr>
      <w:r>
        <w:t xml:space="preserve">CMS has slowly phased in the program, and in 2020, the program will enter into an “Educational and Operations Testing Period.” CMS has stated that during this phase of the program, “claims </w:t>
      </w:r>
      <w:r>
        <w:lastRenderedPageBreak/>
        <w:t xml:space="preserve">will not be denied for failing to include AUC-related information,” but CMS expects physicians to start consulting </w:t>
      </w:r>
      <w:r w:rsidRPr="008748DB">
        <w:t>approved clinical decision support mechanisms</w:t>
      </w:r>
      <w:r>
        <w:t xml:space="preserve"> or using an exemption modifier on individual claims.</w:t>
      </w:r>
      <w:r w:rsidR="00A649B5">
        <w:rPr>
          <w:rStyle w:val="FootnoteReference"/>
        </w:rPr>
        <w:footnoteReference w:id="5"/>
      </w:r>
      <w:r w:rsidR="00713B22">
        <w:t xml:space="preserve"> </w:t>
      </w:r>
      <w:r w:rsidR="00176C2D">
        <w:t xml:space="preserve">As we enter into this educational period, </w:t>
      </w:r>
      <w:r w:rsidR="005352DF">
        <w:t xml:space="preserve">we </w:t>
      </w:r>
      <w:r w:rsidR="00176C2D">
        <w:t>want to work with you to</w:t>
      </w:r>
      <w:r w:rsidR="00CB1200">
        <w:t xml:space="preserve"> update our systems to</w:t>
      </w:r>
      <w:r w:rsidR="00176C2D">
        <w:t xml:space="preserve"> </w:t>
      </w:r>
      <w:r w:rsidR="00176C2D" w:rsidRPr="00626F44">
        <w:t>appropriate</w:t>
      </w:r>
      <w:r w:rsidR="00CB1200" w:rsidRPr="00626F44">
        <w:t>ly</w:t>
      </w:r>
      <w:r w:rsidR="00176C2D" w:rsidRPr="00626F44">
        <w:t xml:space="preserve"> </w:t>
      </w:r>
      <w:r w:rsidR="00CB1200" w:rsidRPr="00626F44">
        <w:t>identify individual cases in the emergency department</w:t>
      </w:r>
      <w:r w:rsidR="00A649B5">
        <w:t xml:space="preserve"> </w:t>
      </w:r>
      <w:r w:rsidR="00CB1200" w:rsidRPr="00626F44">
        <w:t xml:space="preserve">that </w:t>
      </w:r>
      <w:r>
        <w:t xml:space="preserve">would meet this </w:t>
      </w:r>
      <w:r w:rsidR="00CB1200" w:rsidRPr="00626F44">
        <w:t>exemption.</w:t>
      </w:r>
      <w:r w:rsidR="00713B22">
        <w:t xml:space="preserve"> </w:t>
      </w:r>
    </w:p>
    <w:p w:rsidR="00905508" w:rsidRDefault="00626F44" w:rsidP="00A649B5">
      <w:pPr>
        <w:jc w:val="both"/>
        <w:rPr>
          <w:i/>
        </w:rPr>
      </w:pPr>
      <w:r w:rsidRPr="00626F44">
        <w:t xml:space="preserve">We believe many patients in </w:t>
      </w:r>
      <w:r w:rsidR="00D71243">
        <w:t>our</w:t>
      </w:r>
      <w:r w:rsidR="00D71243" w:rsidRPr="00626F44">
        <w:t xml:space="preserve"> </w:t>
      </w:r>
      <w:r w:rsidRPr="00626F44">
        <w:t>emergency department will qualify for th</w:t>
      </w:r>
      <w:r w:rsidR="00713B22">
        <w:t>is exemption</w:t>
      </w:r>
      <w:r w:rsidRPr="00626F44">
        <w:t>.</w:t>
      </w:r>
      <w:r w:rsidR="00905508">
        <w:t xml:space="preserve"> </w:t>
      </w:r>
      <w:r w:rsidR="00905508" w:rsidRPr="0038261C">
        <w:t>As emergency physicians, we often can</w:t>
      </w:r>
      <w:r w:rsidR="005352DF">
        <w:t>no</w:t>
      </w:r>
      <w:r w:rsidR="00D71243">
        <w:t xml:space="preserve">t </w:t>
      </w:r>
      <w:r w:rsidR="00905508" w:rsidRPr="0038261C">
        <w:t xml:space="preserve">differentiate </w:t>
      </w:r>
      <w:r w:rsidR="00D71243">
        <w:t xml:space="preserve">whether a patient is experiencing an emergency or non-emergency condition just based on presenting symptoms. </w:t>
      </w:r>
      <w:r w:rsidR="00163596">
        <w:t xml:space="preserve">Many conditions share similar symptoms, so we often have to do a full work-up and exam to determine an accurate diagnosis. </w:t>
      </w:r>
      <w:r w:rsidR="00905508" w:rsidRPr="0038261C">
        <w:t xml:space="preserve">In fact, a 2013 peer-reviewed study published in JAMA of over 34,000 ED visits found that for those discharge diagnoses </w:t>
      </w:r>
      <w:r w:rsidR="00D71243">
        <w:t>that</w:t>
      </w:r>
      <w:r w:rsidR="00D71243" w:rsidRPr="0038261C">
        <w:t xml:space="preserve"> </w:t>
      </w:r>
      <w:r w:rsidR="00905508" w:rsidRPr="0038261C">
        <w:t>could be considered primary care–treatable, the chief complaints reported for these visits were identical to those reported for 88.7</w:t>
      </w:r>
      <w:r w:rsidR="00713B22">
        <w:t xml:space="preserve"> percent</w:t>
      </w:r>
      <w:r w:rsidR="00905508" w:rsidRPr="0038261C">
        <w:t xml:space="preserve"> of all of the studied </w:t>
      </w:r>
      <w:r w:rsidR="00D71243">
        <w:t>ED</w:t>
      </w:r>
      <w:r w:rsidR="00905508" w:rsidRPr="0038261C">
        <w:t xml:space="preserve"> visits, many of which ended up requiring admission to the hospital, </w:t>
      </w:r>
      <w:r w:rsidR="00D71243">
        <w:t xml:space="preserve">were </w:t>
      </w:r>
      <w:r w:rsidR="00905508" w:rsidRPr="0038261C">
        <w:t xml:space="preserve">triaged at the highest/most urgent level, or went directly to the operating room. </w:t>
      </w:r>
      <w:r w:rsidR="00905508" w:rsidRPr="0038261C">
        <w:rPr>
          <w:rStyle w:val="FootnoteReference"/>
        </w:rPr>
        <w:footnoteReference w:id="6"/>
      </w:r>
      <w:r w:rsidR="00905508" w:rsidRPr="0038261C">
        <w:t xml:space="preserve"> </w:t>
      </w:r>
    </w:p>
    <w:p w:rsidR="00905508" w:rsidRPr="00713B22" w:rsidRDefault="00084F64" w:rsidP="00713B22">
      <w:pPr>
        <w:jc w:val="both"/>
        <w:rPr>
          <w:i/>
          <w:szCs w:val="24"/>
        </w:rPr>
      </w:pPr>
      <w:r w:rsidRPr="00713B22">
        <w:rPr>
          <w:szCs w:val="24"/>
        </w:rPr>
        <w:t xml:space="preserve">We believe </w:t>
      </w:r>
      <w:r w:rsidR="00D71243">
        <w:rPr>
          <w:szCs w:val="24"/>
        </w:rPr>
        <w:t xml:space="preserve">it </w:t>
      </w:r>
      <w:r w:rsidRPr="00713B22">
        <w:rPr>
          <w:szCs w:val="24"/>
        </w:rPr>
        <w:t>is essential to ensure that every</w:t>
      </w:r>
      <w:r w:rsidR="00905508" w:rsidRPr="00713B22">
        <w:rPr>
          <w:szCs w:val="24"/>
        </w:rPr>
        <w:t xml:space="preserve"> provider in </w:t>
      </w:r>
      <w:r w:rsidR="00713B22" w:rsidRPr="00713B22">
        <w:rPr>
          <w:szCs w:val="24"/>
        </w:rPr>
        <w:t xml:space="preserve">our hospital </w:t>
      </w:r>
      <w:r w:rsidR="00905508" w:rsidRPr="00713B22">
        <w:rPr>
          <w:szCs w:val="24"/>
        </w:rPr>
        <w:t xml:space="preserve">understands this exemption and does not consult AUC through clinical decision support mechanisms </w:t>
      </w:r>
      <w:r w:rsidR="00713B22" w:rsidRPr="00713B22">
        <w:rPr>
          <w:szCs w:val="24"/>
        </w:rPr>
        <w:t>in possibly emergency situations</w:t>
      </w:r>
      <w:r w:rsidRPr="00713B22">
        <w:rPr>
          <w:szCs w:val="24"/>
        </w:rPr>
        <w:t xml:space="preserve">. </w:t>
      </w:r>
      <w:r w:rsidR="00D71243">
        <w:rPr>
          <w:szCs w:val="24"/>
        </w:rPr>
        <w:t>Every second matters in emergency care</w:t>
      </w:r>
      <w:r w:rsidRPr="00713B22">
        <w:rPr>
          <w:szCs w:val="24"/>
        </w:rPr>
        <w:t xml:space="preserve">, and </w:t>
      </w:r>
      <w:r w:rsidR="00905508" w:rsidRPr="00713B22">
        <w:rPr>
          <w:szCs w:val="24"/>
        </w:rPr>
        <w:t>we do not want to put patients</w:t>
      </w:r>
      <w:r w:rsidR="00D71243">
        <w:rPr>
          <w:szCs w:val="24"/>
        </w:rPr>
        <w:t>’</w:t>
      </w:r>
      <w:r w:rsidR="00905508" w:rsidRPr="00713B22">
        <w:rPr>
          <w:szCs w:val="24"/>
        </w:rPr>
        <w:t xml:space="preserve"> lives at risk simply because individuals are </w:t>
      </w:r>
      <w:r w:rsidR="00163596">
        <w:rPr>
          <w:szCs w:val="24"/>
        </w:rPr>
        <w:t>un</w:t>
      </w:r>
      <w:r w:rsidR="00905508" w:rsidRPr="00713B22">
        <w:rPr>
          <w:szCs w:val="24"/>
        </w:rPr>
        <w:t xml:space="preserve">aware of the exemption or because </w:t>
      </w:r>
      <w:r w:rsidR="00713B22" w:rsidRPr="00713B22">
        <w:rPr>
          <w:szCs w:val="24"/>
        </w:rPr>
        <w:t xml:space="preserve">our hospital </w:t>
      </w:r>
      <w:r w:rsidR="00905508" w:rsidRPr="00713B22">
        <w:rPr>
          <w:szCs w:val="24"/>
        </w:rPr>
        <w:t>do</w:t>
      </w:r>
      <w:r w:rsidR="00713B22" w:rsidRPr="00713B22">
        <w:rPr>
          <w:szCs w:val="24"/>
        </w:rPr>
        <w:t>es</w:t>
      </w:r>
      <w:r w:rsidR="00905508" w:rsidRPr="00713B22">
        <w:rPr>
          <w:szCs w:val="24"/>
        </w:rPr>
        <w:t xml:space="preserve"> not have systems</w:t>
      </w:r>
      <w:r w:rsidR="00D41434">
        <w:rPr>
          <w:szCs w:val="24"/>
        </w:rPr>
        <w:t xml:space="preserve"> or processes</w:t>
      </w:r>
      <w:r w:rsidR="00905508" w:rsidRPr="00713B22">
        <w:rPr>
          <w:szCs w:val="24"/>
        </w:rPr>
        <w:t xml:space="preserve"> in place to operationalize the exemption.</w:t>
      </w:r>
      <w:r w:rsidR="00713B22">
        <w:rPr>
          <w:szCs w:val="24"/>
        </w:rPr>
        <w:t xml:space="preserve"> </w:t>
      </w:r>
    </w:p>
    <w:p w:rsidR="00626F44" w:rsidRPr="00713B22" w:rsidRDefault="00626F44" w:rsidP="00713B22">
      <w:pPr>
        <w:jc w:val="both"/>
        <w:rPr>
          <w:szCs w:val="24"/>
        </w:rPr>
      </w:pPr>
      <w:r w:rsidRPr="00713B22">
        <w:rPr>
          <w:szCs w:val="24"/>
        </w:rPr>
        <w:t>Thank you for your attention to this issue</w:t>
      </w:r>
      <w:r w:rsidR="00163596">
        <w:rPr>
          <w:szCs w:val="24"/>
        </w:rPr>
        <w:t>,</w:t>
      </w:r>
      <w:r w:rsidRPr="00713B22">
        <w:rPr>
          <w:szCs w:val="24"/>
        </w:rPr>
        <w:t xml:space="preserve"> and we look forward to working with you to ensure our hospital appropriately adheres to the AUC Program requirements and exemptions.</w:t>
      </w:r>
      <w:r w:rsidR="00713B22">
        <w:rPr>
          <w:szCs w:val="24"/>
        </w:rPr>
        <w:t xml:space="preserve">   </w:t>
      </w:r>
    </w:p>
    <w:p w:rsidR="008748DB" w:rsidRPr="008748DB" w:rsidRDefault="008748DB" w:rsidP="008748DB"/>
    <w:sectPr w:rsidR="008748DB" w:rsidRPr="008748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3BF" w:rsidRDefault="00D543BF" w:rsidP="00905508">
      <w:pPr>
        <w:spacing w:after="0" w:line="240" w:lineRule="auto"/>
      </w:pPr>
      <w:r>
        <w:separator/>
      </w:r>
    </w:p>
  </w:endnote>
  <w:endnote w:type="continuationSeparator" w:id="0">
    <w:p w:rsidR="00D543BF" w:rsidRDefault="00D543BF" w:rsidP="0090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3BF" w:rsidRDefault="00D543BF" w:rsidP="00905508">
      <w:pPr>
        <w:spacing w:after="0" w:line="240" w:lineRule="auto"/>
      </w:pPr>
      <w:r>
        <w:separator/>
      </w:r>
    </w:p>
  </w:footnote>
  <w:footnote w:type="continuationSeparator" w:id="0">
    <w:p w:rsidR="00D543BF" w:rsidRDefault="00D543BF" w:rsidP="00905508">
      <w:pPr>
        <w:spacing w:after="0" w:line="240" w:lineRule="auto"/>
      </w:pPr>
      <w:r>
        <w:continuationSeparator/>
      </w:r>
    </w:p>
  </w:footnote>
  <w:footnote w:id="1">
    <w:p w:rsidR="00905508" w:rsidRPr="00713B22" w:rsidRDefault="00905508">
      <w:pPr>
        <w:pStyle w:val="FootnoteText"/>
        <w:rPr>
          <w:rFonts w:ascii="Times New Roman" w:hAnsi="Times New Roman"/>
        </w:rPr>
      </w:pPr>
      <w:r w:rsidRPr="00713B22">
        <w:rPr>
          <w:rStyle w:val="FootnoteReference"/>
          <w:rFonts w:ascii="Times New Roman" w:hAnsi="Times New Roman"/>
        </w:rPr>
        <w:footnoteRef/>
      </w:r>
      <w:r w:rsidRPr="00713B22">
        <w:rPr>
          <w:rFonts w:ascii="Times New Roman" w:hAnsi="Times New Roman"/>
        </w:rPr>
        <w:t xml:space="preserve"> The text of PAMA (Public Law No: 113-93) can be found here:  </w:t>
      </w:r>
      <w:hyperlink r:id="rId1" w:history="1">
        <w:r w:rsidRPr="00713B22">
          <w:rPr>
            <w:rStyle w:val="Hyperlink"/>
            <w:rFonts w:ascii="Times New Roman" w:hAnsi="Times New Roman"/>
          </w:rPr>
          <w:t>https://www.congress.gov/113/plaws/publ93/PLAW-113publ93.pdf</w:t>
        </w:r>
      </w:hyperlink>
      <w:r w:rsidRPr="00713B22">
        <w:rPr>
          <w:rFonts w:ascii="Times New Roman" w:hAnsi="Times New Roman"/>
        </w:rPr>
        <w:t>.</w:t>
      </w:r>
    </w:p>
  </w:footnote>
  <w:footnote w:id="2">
    <w:p w:rsidR="00713B22" w:rsidRPr="00713B22" w:rsidRDefault="00713B22" w:rsidP="00713B22">
      <w:pPr>
        <w:pStyle w:val="NoSpacing"/>
        <w:rPr>
          <w:sz w:val="20"/>
          <w:szCs w:val="20"/>
        </w:rPr>
      </w:pPr>
      <w:r w:rsidRPr="00713B22">
        <w:rPr>
          <w:rStyle w:val="FootnoteReference"/>
          <w:sz w:val="20"/>
          <w:szCs w:val="20"/>
        </w:rPr>
        <w:footnoteRef/>
      </w:r>
      <w:r w:rsidRPr="00713B22">
        <w:rPr>
          <w:sz w:val="20"/>
          <w:szCs w:val="20"/>
        </w:rPr>
        <w:t xml:space="preserve"> An emergency medical condition is defined in law as:</w:t>
      </w:r>
    </w:p>
    <w:p w:rsidR="00713B22" w:rsidRPr="00713B22" w:rsidRDefault="00713B22" w:rsidP="00713B22">
      <w:pPr>
        <w:pStyle w:val="ListParagraph"/>
        <w:numPr>
          <w:ilvl w:val="0"/>
          <w:numId w:val="3"/>
        </w:numPr>
        <w:rPr>
          <w:rFonts w:ascii="Times New Roman" w:eastAsia="Times New Roman" w:hAnsi="Times New Roman"/>
          <w:sz w:val="20"/>
          <w:szCs w:val="20"/>
        </w:rPr>
      </w:pPr>
      <w:r w:rsidRPr="00713B22">
        <w:rPr>
          <w:rFonts w:ascii="Times New Roman" w:eastAsia="Times New Roman" w:hAnsi="Times New Roman"/>
          <w:sz w:val="20"/>
          <w:szCs w:val="20"/>
        </w:rPr>
        <w:t>A medical condition manifesting itself by acute symptoms of sufficient severity (including severe pain) such that the absence of immediate medical attention could reasonably be expected to result in:</w:t>
      </w:r>
    </w:p>
    <w:p w:rsidR="00713B22" w:rsidRPr="00713B22" w:rsidRDefault="00713B22" w:rsidP="00713B22">
      <w:pPr>
        <w:pStyle w:val="ListParagraph"/>
        <w:numPr>
          <w:ilvl w:val="1"/>
          <w:numId w:val="1"/>
        </w:numPr>
        <w:rPr>
          <w:rFonts w:ascii="Times New Roman" w:eastAsia="Times New Roman" w:hAnsi="Times New Roman"/>
          <w:sz w:val="20"/>
          <w:szCs w:val="20"/>
        </w:rPr>
      </w:pPr>
      <w:r w:rsidRPr="00713B22">
        <w:rPr>
          <w:rFonts w:ascii="Times New Roman" w:eastAsia="Times New Roman" w:hAnsi="Times New Roman"/>
          <w:sz w:val="20"/>
          <w:szCs w:val="20"/>
        </w:rPr>
        <w:t>Placing the health of the individual (or, with respect to a pregnant woman, the health of the woman or her unborn child) in serious jeopardy.</w:t>
      </w:r>
    </w:p>
    <w:p w:rsidR="00713B22" w:rsidRPr="00713B22" w:rsidRDefault="00713B22" w:rsidP="00713B22">
      <w:pPr>
        <w:pStyle w:val="ListParagraph"/>
        <w:numPr>
          <w:ilvl w:val="1"/>
          <w:numId w:val="1"/>
        </w:numPr>
        <w:rPr>
          <w:rFonts w:ascii="Times New Roman" w:eastAsia="Times New Roman" w:hAnsi="Times New Roman"/>
          <w:sz w:val="20"/>
          <w:szCs w:val="20"/>
        </w:rPr>
      </w:pPr>
      <w:r w:rsidRPr="00713B22">
        <w:rPr>
          <w:rFonts w:ascii="Times New Roman" w:eastAsia="Times New Roman" w:hAnsi="Times New Roman"/>
          <w:sz w:val="20"/>
          <w:szCs w:val="20"/>
        </w:rPr>
        <w:t>Serious impairment to bodily functions, or</w:t>
      </w:r>
    </w:p>
    <w:p w:rsidR="00713B22" w:rsidRPr="00713B22" w:rsidRDefault="00713B22" w:rsidP="00713B22">
      <w:pPr>
        <w:pStyle w:val="ListParagraph"/>
        <w:numPr>
          <w:ilvl w:val="1"/>
          <w:numId w:val="1"/>
        </w:numPr>
        <w:rPr>
          <w:rFonts w:ascii="Times New Roman" w:eastAsia="Times New Roman" w:hAnsi="Times New Roman"/>
          <w:sz w:val="20"/>
          <w:szCs w:val="20"/>
        </w:rPr>
      </w:pPr>
      <w:r w:rsidRPr="00713B22">
        <w:rPr>
          <w:rFonts w:ascii="Times New Roman" w:eastAsia="Times New Roman" w:hAnsi="Times New Roman"/>
          <w:sz w:val="20"/>
          <w:szCs w:val="20"/>
        </w:rPr>
        <w:t>Serious dysfunction of any bodily organ or part; or</w:t>
      </w:r>
    </w:p>
    <w:p w:rsidR="00713B22" w:rsidRPr="00713B22" w:rsidRDefault="00713B22" w:rsidP="00713B22">
      <w:pPr>
        <w:pStyle w:val="ListParagraph"/>
        <w:numPr>
          <w:ilvl w:val="0"/>
          <w:numId w:val="1"/>
        </w:numPr>
        <w:rPr>
          <w:rFonts w:ascii="Times New Roman" w:eastAsia="Times New Roman" w:hAnsi="Times New Roman"/>
          <w:sz w:val="20"/>
          <w:szCs w:val="20"/>
        </w:rPr>
      </w:pPr>
      <w:r w:rsidRPr="00713B22">
        <w:rPr>
          <w:rFonts w:ascii="Times New Roman" w:eastAsia="Times New Roman" w:hAnsi="Times New Roman"/>
          <w:sz w:val="20"/>
          <w:szCs w:val="20"/>
        </w:rPr>
        <w:t>With respect to a pregnant woman who is having contractions –</w:t>
      </w:r>
    </w:p>
    <w:p w:rsidR="00713B22" w:rsidRPr="00713B22" w:rsidRDefault="00713B22" w:rsidP="00713B22">
      <w:pPr>
        <w:pStyle w:val="ListParagraph"/>
        <w:numPr>
          <w:ilvl w:val="1"/>
          <w:numId w:val="1"/>
        </w:numPr>
        <w:rPr>
          <w:rFonts w:ascii="Times New Roman" w:eastAsia="Times New Roman" w:hAnsi="Times New Roman"/>
          <w:sz w:val="20"/>
          <w:szCs w:val="20"/>
        </w:rPr>
      </w:pPr>
      <w:r w:rsidRPr="00713B22">
        <w:rPr>
          <w:rFonts w:ascii="Times New Roman" w:eastAsia="Times New Roman" w:hAnsi="Times New Roman"/>
          <w:sz w:val="20"/>
          <w:szCs w:val="20"/>
        </w:rPr>
        <w:t xml:space="preserve">That there is inadequate time to </w:t>
      </w:r>
      <w:proofErr w:type="gramStart"/>
      <w:r w:rsidRPr="00713B22">
        <w:rPr>
          <w:rFonts w:ascii="Times New Roman" w:eastAsia="Times New Roman" w:hAnsi="Times New Roman"/>
          <w:sz w:val="20"/>
          <w:szCs w:val="20"/>
        </w:rPr>
        <w:t>effect</w:t>
      </w:r>
      <w:proofErr w:type="gramEnd"/>
      <w:r w:rsidRPr="00713B22">
        <w:rPr>
          <w:rFonts w:ascii="Times New Roman" w:eastAsia="Times New Roman" w:hAnsi="Times New Roman"/>
          <w:sz w:val="20"/>
          <w:szCs w:val="20"/>
        </w:rPr>
        <w:t xml:space="preserve"> a safe transfer to another hospital before delivery, or</w:t>
      </w:r>
    </w:p>
    <w:p w:rsidR="00713B22" w:rsidRPr="00713B22" w:rsidRDefault="00713B22" w:rsidP="00713B22">
      <w:pPr>
        <w:pStyle w:val="ListParagraph"/>
        <w:numPr>
          <w:ilvl w:val="1"/>
          <w:numId w:val="1"/>
        </w:numPr>
        <w:rPr>
          <w:rFonts w:ascii="Times New Roman" w:eastAsia="Times New Roman" w:hAnsi="Times New Roman"/>
          <w:sz w:val="20"/>
          <w:szCs w:val="20"/>
        </w:rPr>
      </w:pPr>
      <w:r w:rsidRPr="00713B22">
        <w:rPr>
          <w:rFonts w:ascii="Times New Roman" w:eastAsia="Times New Roman" w:hAnsi="Times New Roman"/>
          <w:sz w:val="20"/>
          <w:szCs w:val="20"/>
        </w:rPr>
        <w:t>That transfer may pose a threat to the health or safety of the woman or the unborn child.</w:t>
      </w:r>
    </w:p>
  </w:footnote>
  <w:footnote w:id="3">
    <w:p w:rsidR="00713B22" w:rsidRPr="00713B22" w:rsidRDefault="00905508">
      <w:pPr>
        <w:pStyle w:val="FootnoteText"/>
        <w:rPr>
          <w:rFonts w:ascii="Times New Roman" w:hAnsi="Times New Roman"/>
        </w:rPr>
      </w:pPr>
      <w:r w:rsidRPr="00713B22">
        <w:rPr>
          <w:rStyle w:val="FootnoteReference"/>
          <w:rFonts w:ascii="Times New Roman" w:hAnsi="Times New Roman"/>
        </w:rPr>
        <w:footnoteRef/>
      </w:r>
      <w:r w:rsidRPr="00713B22">
        <w:rPr>
          <w:rFonts w:ascii="Times New Roman" w:hAnsi="Times New Roman"/>
        </w:rPr>
        <w:t xml:space="preserve"> CMS issued this clarification in the Calendar Year 2019 Physician Fee Schedule and Quality Payment Program Final Rule (page 59699), </w:t>
      </w:r>
      <w:r w:rsidR="00713B22" w:rsidRPr="00713B22">
        <w:rPr>
          <w:rFonts w:ascii="Times New Roman" w:hAnsi="Times New Roman"/>
        </w:rPr>
        <w:t xml:space="preserve">available at: </w:t>
      </w:r>
      <w:hyperlink r:id="rId2" w:history="1">
        <w:r w:rsidR="00713B22" w:rsidRPr="00713B22">
          <w:rPr>
            <w:rStyle w:val="Hyperlink"/>
            <w:rFonts w:ascii="Times New Roman" w:hAnsi="Times New Roman"/>
          </w:rPr>
          <w:t>https://www.govinfo.gov/content/pkg/FR-2018-11-23/pdf/2018-24170.pdf</w:t>
        </w:r>
      </w:hyperlink>
      <w:r w:rsidR="00713B22" w:rsidRPr="00713B22">
        <w:rPr>
          <w:rFonts w:ascii="Times New Roman" w:hAnsi="Times New Roman"/>
        </w:rPr>
        <w:t>.</w:t>
      </w:r>
    </w:p>
  </w:footnote>
  <w:footnote w:id="4">
    <w:p w:rsidR="00713B22" w:rsidRDefault="00713B22">
      <w:pPr>
        <w:pStyle w:val="FootnoteText"/>
      </w:pPr>
      <w:r w:rsidRPr="00713B22">
        <w:rPr>
          <w:rStyle w:val="FootnoteReference"/>
          <w:rFonts w:ascii="Times New Roman" w:hAnsi="Times New Roman"/>
        </w:rPr>
        <w:footnoteRef/>
      </w:r>
      <w:r w:rsidRPr="00713B22">
        <w:rPr>
          <w:rFonts w:ascii="Times New Roman" w:hAnsi="Times New Roman"/>
        </w:rPr>
        <w:t xml:space="preserve"> CMS’ instructions are included in an July 26, 2019 edition of MLN Matters, “Appropriate Use Criteria (AUC) for Advanced Diagnostic Imaging – Educational and Operations Testing Period - Claims Processing Requirements,” available at: </w:t>
      </w:r>
      <w:hyperlink r:id="rId3" w:history="1">
        <w:r w:rsidRPr="00713B22">
          <w:rPr>
            <w:rStyle w:val="Hyperlink"/>
            <w:rFonts w:ascii="Times New Roman" w:hAnsi="Times New Roman"/>
          </w:rPr>
          <w:t>https://www.cms.gov/Outreach-and-Education/Medicare-Learning-Network-MLN/MLNMattersArticles/Downloads/MM11268.pdf</w:t>
        </w:r>
      </w:hyperlink>
      <w:r w:rsidRPr="00713B22">
        <w:rPr>
          <w:rFonts w:ascii="Times New Roman" w:hAnsi="Times New Roman"/>
        </w:rPr>
        <w:t>.</w:t>
      </w:r>
    </w:p>
  </w:footnote>
  <w:footnote w:id="5">
    <w:p w:rsidR="00A649B5" w:rsidRPr="00A649B5" w:rsidRDefault="00A649B5">
      <w:pPr>
        <w:pStyle w:val="FootnoteText"/>
        <w:rPr>
          <w:rFonts w:ascii="Times New Roman" w:hAnsi="Times New Roman"/>
        </w:rPr>
      </w:pPr>
      <w:r w:rsidRPr="00A649B5">
        <w:rPr>
          <w:rStyle w:val="FootnoteReference"/>
          <w:rFonts w:ascii="Times New Roman" w:hAnsi="Times New Roman"/>
        </w:rPr>
        <w:footnoteRef/>
      </w:r>
      <w:r w:rsidRPr="00A649B5">
        <w:rPr>
          <w:rFonts w:ascii="Times New Roman" w:hAnsi="Times New Roman"/>
        </w:rPr>
        <w:t xml:space="preserve"> Ibid. </w:t>
      </w:r>
    </w:p>
  </w:footnote>
  <w:footnote w:id="6">
    <w:p w:rsidR="00905508" w:rsidRPr="0038261C" w:rsidRDefault="00905508" w:rsidP="00905508">
      <w:pPr>
        <w:pStyle w:val="FootnoteText"/>
        <w:rPr>
          <w:rFonts w:ascii="Times New Roman" w:hAnsi="Times New Roman"/>
        </w:rPr>
      </w:pPr>
      <w:r w:rsidRPr="0038261C">
        <w:rPr>
          <w:rStyle w:val="FootnoteReference"/>
          <w:rFonts w:ascii="Times New Roman" w:hAnsi="Times New Roman"/>
        </w:rPr>
        <w:footnoteRef/>
      </w:r>
      <w:r w:rsidRPr="0038261C">
        <w:rPr>
          <w:rFonts w:ascii="Times New Roman" w:hAnsi="Times New Roman"/>
        </w:rPr>
        <w:t xml:space="preserve"> Raven MC, Lowe RA, </w:t>
      </w:r>
      <w:proofErr w:type="spellStart"/>
      <w:r w:rsidRPr="0038261C">
        <w:rPr>
          <w:rFonts w:ascii="Times New Roman" w:hAnsi="Times New Roman"/>
        </w:rPr>
        <w:t>Maselli</w:t>
      </w:r>
      <w:proofErr w:type="spellEnd"/>
      <w:r w:rsidRPr="0038261C">
        <w:rPr>
          <w:rFonts w:ascii="Times New Roman" w:hAnsi="Times New Roman"/>
        </w:rPr>
        <w:t xml:space="preserve"> J, Hsia RY. Comparison of Presenting Complaint vs Discharge Diagnosis for Identifying “Nonemergency” Emergency Department Visits. JAMA. 2013;309(11):1145-1153. doi:10.1001/jama.2013.1948</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5021"/>
    <w:multiLevelType w:val="hybridMultilevel"/>
    <w:tmpl w:val="7C6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04FBB"/>
    <w:multiLevelType w:val="hybridMultilevel"/>
    <w:tmpl w:val="01C43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E8"/>
    <w:rsid w:val="00084F64"/>
    <w:rsid w:val="00163596"/>
    <w:rsid w:val="00176C2D"/>
    <w:rsid w:val="00283007"/>
    <w:rsid w:val="002C4FA8"/>
    <w:rsid w:val="00453B9C"/>
    <w:rsid w:val="005352DF"/>
    <w:rsid w:val="00590741"/>
    <w:rsid w:val="005C2123"/>
    <w:rsid w:val="005E0724"/>
    <w:rsid w:val="00626F44"/>
    <w:rsid w:val="00713B22"/>
    <w:rsid w:val="008338CC"/>
    <w:rsid w:val="008510C6"/>
    <w:rsid w:val="008748DB"/>
    <w:rsid w:val="008D6BF3"/>
    <w:rsid w:val="00905508"/>
    <w:rsid w:val="00A649B5"/>
    <w:rsid w:val="00A665A0"/>
    <w:rsid w:val="00B747DF"/>
    <w:rsid w:val="00C028E8"/>
    <w:rsid w:val="00C154C4"/>
    <w:rsid w:val="00CB1200"/>
    <w:rsid w:val="00D41434"/>
    <w:rsid w:val="00D543BF"/>
    <w:rsid w:val="00D7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6C84"/>
  <w15:chartTrackingRefBased/>
  <w15:docId w15:val="{56857479-65B6-4CB7-8611-9286BDF7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5508"/>
    <w:pPr>
      <w:spacing w:after="0" w:line="240"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905508"/>
    <w:rPr>
      <w:rFonts w:ascii="Calibri" w:eastAsia="Calibri" w:hAnsi="Calibri"/>
      <w:sz w:val="20"/>
      <w:szCs w:val="20"/>
    </w:rPr>
  </w:style>
  <w:style w:type="character" w:styleId="FootnoteReference">
    <w:name w:val="footnote reference"/>
    <w:basedOn w:val="DefaultParagraphFont"/>
    <w:uiPriority w:val="99"/>
    <w:semiHidden/>
    <w:unhideWhenUsed/>
    <w:rsid w:val="00905508"/>
    <w:rPr>
      <w:vertAlign w:val="superscript"/>
    </w:rPr>
  </w:style>
  <w:style w:type="character" w:styleId="Hyperlink">
    <w:name w:val="Hyperlink"/>
    <w:basedOn w:val="DefaultParagraphFont"/>
    <w:uiPriority w:val="99"/>
    <w:unhideWhenUsed/>
    <w:rsid w:val="00905508"/>
    <w:rPr>
      <w:color w:val="0563C1" w:themeColor="hyperlink"/>
      <w:u w:val="single"/>
    </w:rPr>
  </w:style>
  <w:style w:type="character" w:styleId="UnresolvedMention">
    <w:name w:val="Unresolved Mention"/>
    <w:basedOn w:val="DefaultParagraphFont"/>
    <w:uiPriority w:val="99"/>
    <w:semiHidden/>
    <w:unhideWhenUsed/>
    <w:rsid w:val="00905508"/>
    <w:rPr>
      <w:color w:val="605E5C"/>
      <w:shd w:val="clear" w:color="auto" w:fill="E1DFDD"/>
    </w:rPr>
  </w:style>
  <w:style w:type="paragraph" w:styleId="ListParagraph">
    <w:name w:val="List Paragraph"/>
    <w:basedOn w:val="Normal"/>
    <w:uiPriority w:val="34"/>
    <w:qFormat/>
    <w:rsid w:val="00713B22"/>
    <w:pPr>
      <w:spacing w:after="0" w:line="240" w:lineRule="auto"/>
      <w:ind w:left="720"/>
    </w:pPr>
    <w:rPr>
      <w:rFonts w:ascii="Calibri" w:hAnsi="Calibri"/>
      <w:sz w:val="22"/>
    </w:rPr>
  </w:style>
  <w:style w:type="paragraph" w:styleId="NoSpacing">
    <w:name w:val="No Spacing"/>
    <w:uiPriority w:val="1"/>
    <w:qFormat/>
    <w:rsid w:val="00713B22"/>
    <w:pPr>
      <w:spacing w:after="0" w:line="240" w:lineRule="auto"/>
    </w:pPr>
  </w:style>
  <w:style w:type="paragraph" w:styleId="BalloonText">
    <w:name w:val="Balloon Text"/>
    <w:basedOn w:val="Normal"/>
    <w:link w:val="BalloonTextChar"/>
    <w:uiPriority w:val="99"/>
    <w:semiHidden/>
    <w:unhideWhenUsed/>
    <w:rsid w:val="00A66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Outreach-and-Education/Medicare-Learning-Network-MLN/MLNMattersArticles/Downloads/MM11268.pdf" TargetMode="External"/><Relationship Id="rId2" Type="http://schemas.openxmlformats.org/officeDocument/2006/relationships/hyperlink" Target="https://www.govinfo.gov/content/pkg/FR-2018-11-23/pdf/2018-24170.pdf" TargetMode="External"/><Relationship Id="rId1" Type="http://schemas.openxmlformats.org/officeDocument/2006/relationships/hyperlink" Target="https://www.congress.gov/113/plaws/publ93/PLAW-113publ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FC67C-106C-497B-8B93-834DE49E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Davis</dc:creator>
  <cp:keywords/>
  <dc:description/>
  <cp:lastModifiedBy>Jeffrey Davis</cp:lastModifiedBy>
  <cp:revision>2</cp:revision>
  <dcterms:created xsi:type="dcterms:W3CDTF">2019-08-15T18:48:00Z</dcterms:created>
  <dcterms:modified xsi:type="dcterms:W3CDTF">2019-08-15T18:48:00Z</dcterms:modified>
</cp:coreProperties>
</file>